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9ED"/>
  <w:body>
    <w:p w:rsidR="00E90DAF" w:rsidRDefault="003472DC">
      <w:pPr>
        <w:spacing w:before="0"/>
        <w:jc w:val="center"/>
        <w:rPr>
          <w:rFonts w:ascii="Cambria" w:eastAsia="Cambria" w:hAnsi="Cambria" w:cs="Cambria"/>
          <w:sz w:val="28"/>
          <w:szCs w:val="28"/>
        </w:rPr>
      </w:pPr>
      <w:bookmarkStart w:id="0" w:name="_GoBack"/>
      <w:bookmarkEnd w:id="0"/>
      <w:r>
        <w:rPr>
          <w:rFonts w:ascii="Cambria" w:eastAsia="Cambria" w:hAnsi="Cambria" w:cs="Cambria"/>
          <w:sz w:val="28"/>
          <w:szCs w:val="28"/>
        </w:rPr>
        <w:t>Canada and World Studies/IE Weldon Secondary School</w:t>
      </w:r>
    </w:p>
    <w:p w:rsidR="00E90DAF" w:rsidRDefault="003472DC">
      <w:pPr>
        <w:spacing w:before="0"/>
        <w:jc w:val="center"/>
        <w:rPr>
          <w:rFonts w:ascii="Cambria" w:eastAsia="Cambria" w:hAnsi="Cambria" w:cs="Cambria"/>
          <w:b/>
        </w:rPr>
      </w:pPr>
      <w:r>
        <w:rPr>
          <w:rFonts w:ascii="Cambria" w:eastAsia="Cambria" w:hAnsi="Cambria" w:cs="Cambria"/>
          <w:b/>
          <w:sz w:val="28"/>
          <w:szCs w:val="28"/>
        </w:rPr>
        <w:t xml:space="preserve"> 7 Level Mark Descriptors</w:t>
      </w:r>
      <w:r>
        <w:rPr>
          <w:rFonts w:ascii="Cambria" w:eastAsia="Cambria" w:hAnsi="Cambria" w:cs="Cambria"/>
          <w:b/>
          <w:sz w:val="24"/>
          <w:szCs w:val="24"/>
        </w:rPr>
        <w:t xml:space="preserve"> </w:t>
      </w:r>
      <w:r>
        <w:rPr>
          <w:rFonts w:ascii="Cambria" w:eastAsia="Cambria" w:hAnsi="Cambria" w:cs="Cambria"/>
          <w:b/>
        </w:rPr>
        <w:t xml:space="preserve"> </w:t>
      </w:r>
    </w:p>
    <w:p w:rsidR="00E90DAF" w:rsidRDefault="00E90DAF">
      <w:pPr>
        <w:spacing w:before="0" w:line="240" w:lineRule="auto"/>
        <w:rPr>
          <w:rFonts w:ascii="Cambria" w:eastAsia="Cambria" w:hAnsi="Cambria" w:cs="Cambria"/>
        </w:rPr>
      </w:pPr>
    </w:p>
    <w:p w:rsidR="00E90DAF" w:rsidRDefault="003472DC">
      <w:pPr>
        <w:spacing w:before="0" w:line="240" w:lineRule="auto"/>
        <w:rPr>
          <w:rFonts w:ascii="Cambria" w:eastAsia="Cambria" w:hAnsi="Cambria" w:cs="Cambria"/>
        </w:rPr>
      </w:pPr>
      <w:r>
        <w:rPr>
          <w:rFonts w:ascii="Cambria" w:eastAsia="Cambria" w:hAnsi="Cambria" w:cs="Cambria"/>
        </w:rPr>
        <w:t xml:space="preserve">All work in Canada and World Studies (from applied/academic to Open/College/University) will be assessed on a 7 level scale. Students will receive a level grade, but </w:t>
      </w:r>
      <w:r>
        <w:rPr>
          <w:rFonts w:ascii="Cambria" w:eastAsia="Cambria" w:hAnsi="Cambria" w:cs="Cambria"/>
          <w:b/>
        </w:rPr>
        <w:t>no percentage grade</w:t>
      </w:r>
      <w:r>
        <w:rPr>
          <w:rFonts w:ascii="Cambria" w:eastAsia="Cambria" w:hAnsi="Cambria" w:cs="Cambria"/>
        </w:rPr>
        <w:t xml:space="preserve"> until such time that one is required by admin (or within your own discretion). The teacher will look at the student’s body of work (including consideration of all the learning skills and academic skills demonstrated through the course) and make a determination as to where they are on the 7 point scale. A percentage grade will then be assigned. The grade boundaries for each level are listed at the end of this document. </w:t>
      </w:r>
    </w:p>
    <w:p w:rsidR="00E90DAF" w:rsidRDefault="00DF69A3">
      <w:pPr>
        <w:spacing w:before="0"/>
        <w:ind w:left="-105"/>
        <w:rPr>
          <w:rFonts w:ascii="Cambria" w:eastAsia="Cambria" w:hAnsi="Cambria" w:cs="Cambria"/>
        </w:rPr>
      </w:pPr>
      <w:r>
        <w:pict>
          <v:rect id="_x0000_i1025" style="width:0;height:1.5pt" o:hralign="center" o:hrstd="t" o:hr="t" fillcolor="#a0a0a0" stroked="f"/>
        </w:pict>
      </w:r>
    </w:p>
    <w:p w:rsidR="00E90DAF" w:rsidRDefault="003472DC">
      <w:pPr>
        <w:spacing w:before="0"/>
        <w:ind w:left="-105"/>
        <w:rPr>
          <w:rFonts w:ascii="Cambria" w:eastAsia="Cambria" w:hAnsi="Cambria" w:cs="Cambria"/>
          <w:b/>
          <w:sz w:val="20"/>
          <w:szCs w:val="20"/>
        </w:rPr>
      </w:pPr>
      <w:r>
        <w:rPr>
          <w:rFonts w:ascii="Cambria" w:eastAsia="Cambria" w:hAnsi="Cambria" w:cs="Cambria"/>
        </w:rPr>
        <w:t>*</w:t>
      </w:r>
      <w:r>
        <w:rPr>
          <w:rFonts w:ascii="Cambria" w:eastAsia="Cambria" w:hAnsi="Cambria" w:cs="Cambria"/>
          <w:b/>
          <w:sz w:val="20"/>
          <w:szCs w:val="20"/>
        </w:rPr>
        <w:t xml:space="preserve"> Using levels is meant to take the focus away from the grade, and place it on the </w:t>
      </w:r>
      <w:r>
        <w:rPr>
          <w:rFonts w:ascii="Cambria" w:eastAsia="Cambria" w:hAnsi="Cambria" w:cs="Cambria"/>
          <w:b/>
          <w:sz w:val="20"/>
          <w:szCs w:val="20"/>
          <w:u w:val="single"/>
        </w:rPr>
        <w:t>feedback given</w:t>
      </w:r>
      <w:r>
        <w:rPr>
          <w:rFonts w:ascii="Cambria" w:eastAsia="Cambria" w:hAnsi="Cambria" w:cs="Cambria"/>
          <w:b/>
          <w:sz w:val="20"/>
          <w:szCs w:val="20"/>
        </w:rPr>
        <w:t xml:space="preserve">. Students should not be hunting for a specific grade, but paying attention to the feedback as well as the descriptors below. Through his system students should be able to appreciate their abilities and where they themselves can do better as opposed to the teacher provided more for the student to demonstrate. This method of grading promotes a growth mindset for the students. Percentage grades will be generated at report card time. </w:t>
      </w:r>
    </w:p>
    <w:p w:rsidR="00E90DAF" w:rsidRDefault="003472DC">
      <w:pPr>
        <w:spacing w:line="240" w:lineRule="auto"/>
        <w:ind w:left="-540" w:right="-540"/>
        <w:rPr>
          <w:rFonts w:ascii="Cambria" w:eastAsia="Cambria" w:hAnsi="Cambria" w:cs="Cambria"/>
          <w:b/>
          <w:sz w:val="20"/>
          <w:szCs w:val="20"/>
        </w:rPr>
      </w:pPr>
      <w:r>
        <w:rPr>
          <w:rFonts w:ascii="Cambria" w:eastAsia="Cambria" w:hAnsi="Cambria" w:cs="Cambria"/>
          <w:b/>
          <w:sz w:val="20"/>
          <w:szCs w:val="20"/>
        </w:rPr>
        <w:t xml:space="preserve">Level 1 </w:t>
      </w:r>
    </w:p>
    <w:p w:rsidR="00E90DAF" w:rsidRDefault="003472DC">
      <w:pPr>
        <w:numPr>
          <w:ilvl w:val="0"/>
          <w:numId w:val="6"/>
        </w:numPr>
        <w:ind w:right="-540" w:hanging="360"/>
        <w:contextualSpacing/>
        <w:rPr>
          <w:rFonts w:ascii="Cambria" w:eastAsia="Cambria" w:hAnsi="Cambria" w:cs="Cambria"/>
          <w:sz w:val="20"/>
          <w:szCs w:val="20"/>
        </w:rPr>
      </w:pPr>
      <w:r>
        <w:rPr>
          <w:rFonts w:ascii="Cambria" w:eastAsia="Cambria" w:hAnsi="Cambria" w:cs="Cambria"/>
          <w:sz w:val="20"/>
          <w:szCs w:val="20"/>
        </w:rPr>
        <w:t xml:space="preserve">Demonstrated </w:t>
      </w:r>
      <w:r>
        <w:rPr>
          <w:rFonts w:ascii="Cambria" w:eastAsia="Cambria" w:hAnsi="Cambria" w:cs="Cambria"/>
          <w:b/>
          <w:sz w:val="20"/>
          <w:szCs w:val="20"/>
          <w:u w:val="single"/>
        </w:rPr>
        <w:t>rudimentary</w:t>
      </w:r>
      <w:r>
        <w:rPr>
          <w:rFonts w:ascii="Cambria" w:eastAsia="Cambria" w:hAnsi="Cambria" w:cs="Cambria"/>
          <w:sz w:val="20"/>
          <w:szCs w:val="20"/>
        </w:rPr>
        <w:t xml:space="preserve"> knowledge and understanding of the content, with </w:t>
      </w:r>
      <w:r>
        <w:rPr>
          <w:rFonts w:ascii="Cambria" w:eastAsia="Cambria" w:hAnsi="Cambria" w:cs="Cambria"/>
          <w:b/>
          <w:sz w:val="20"/>
          <w:szCs w:val="20"/>
          <w:u w:val="single"/>
        </w:rPr>
        <w:t>very weak comprehension</w:t>
      </w:r>
      <w:r>
        <w:rPr>
          <w:rFonts w:ascii="Cambria" w:eastAsia="Cambria" w:hAnsi="Cambria" w:cs="Cambria"/>
          <w:sz w:val="20"/>
          <w:szCs w:val="20"/>
        </w:rPr>
        <w:t xml:space="preserve"> of concepts and context </w:t>
      </w:r>
    </w:p>
    <w:p w:rsidR="00E90DAF" w:rsidRDefault="003472DC">
      <w:pPr>
        <w:numPr>
          <w:ilvl w:val="0"/>
          <w:numId w:val="6"/>
        </w:numPr>
        <w:ind w:right="-540" w:hanging="360"/>
        <w:contextualSpacing/>
        <w:rPr>
          <w:rFonts w:ascii="Cambria" w:eastAsia="Cambria" w:hAnsi="Cambria" w:cs="Cambria"/>
          <w:sz w:val="20"/>
          <w:szCs w:val="20"/>
        </w:rPr>
      </w:pPr>
      <w:r>
        <w:rPr>
          <w:rFonts w:ascii="Cambria" w:eastAsia="Cambria" w:hAnsi="Cambria" w:cs="Cambria"/>
          <w:sz w:val="20"/>
          <w:szCs w:val="20"/>
        </w:rPr>
        <w:t xml:space="preserve">Ability and ethic to comprehend task expectations is </w:t>
      </w:r>
      <w:r>
        <w:rPr>
          <w:rFonts w:ascii="Cambria" w:eastAsia="Cambria" w:hAnsi="Cambria" w:cs="Cambria"/>
          <w:b/>
          <w:sz w:val="20"/>
          <w:szCs w:val="20"/>
          <w:u w:val="single"/>
        </w:rPr>
        <w:t>not evident</w:t>
      </w:r>
    </w:p>
    <w:p w:rsidR="00E90DAF" w:rsidRDefault="003472DC">
      <w:pPr>
        <w:numPr>
          <w:ilvl w:val="0"/>
          <w:numId w:val="6"/>
        </w:numPr>
        <w:ind w:right="-540" w:hanging="360"/>
        <w:contextualSpacing/>
        <w:rPr>
          <w:rFonts w:ascii="Cambria" w:eastAsia="Cambria" w:hAnsi="Cambria" w:cs="Cambria"/>
          <w:sz w:val="20"/>
          <w:szCs w:val="20"/>
        </w:rPr>
      </w:pPr>
      <w:r>
        <w:rPr>
          <w:rFonts w:ascii="Cambria" w:eastAsia="Cambria" w:hAnsi="Cambria" w:cs="Cambria"/>
          <w:sz w:val="20"/>
          <w:szCs w:val="20"/>
        </w:rPr>
        <w:t xml:space="preserve">Responses are </w:t>
      </w:r>
      <w:r>
        <w:rPr>
          <w:rFonts w:ascii="Cambria" w:eastAsia="Cambria" w:hAnsi="Cambria" w:cs="Cambria"/>
          <w:b/>
          <w:sz w:val="20"/>
          <w:szCs w:val="20"/>
          <w:u w:val="single"/>
        </w:rPr>
        <w:t>rarely accurate</w:t>
      </w:r>
      <w:r>
        <w:rPr>
          <w:rFonts w:ascii="Cambria" w:eastAsia="Cambria" w:hAnsi="Cambria" w:cs="Cambria"/>
          <w:sz w:val="20"/>
          <w:szCs w:val="20"/>
        </w:rPr>
        <w:t xml:space="preserve">, organization is lacking to the point that task work is </w:t>
      </w:r>
      <w:r>
        <w:rPr>
          <w:rFonts w:ascii="Cambria" w:eastAsia="Cambria" w:hAnsi="Cambria" w:cs="Cambria"/>
          <w:b/>
          <w:sz w:val="20"/>
          <w:szCs w:val="20"/>
          <w:u w:val="single"/>
        </w:rPr>
        <w:t>confusing or not complete in many cases</w:t>
      </w:r>
    </w:p>
    <w:p w:rsidR="00E90DAF" w:rsidRDefault="003472DC">
      <w:pPr>
        <w:numPr>
          <w:ilvl w:val="0"/>
          <w:numId w:val="6"/>
        </w:numPr>
        <w:ind w:right="-540" w:hanging="360"/>
        <w:contextualSpacing/>
        <w:rPr>
          <w:rFonts w:ascii="Cambria" w:eastAsia="Cambria" w:hAnsi="Cambria" w:cs="Cambria"/>
          <w:sz w:val="20"/>
          <w:szCs w:val="20"/>
        </w:rPr>
      </w:pPr>
      <w:r>
        <w:rPr>
          <w:rFonts w:ascii="Cambria" w:eastAsia="Cambria" w:hAnsi="Cambria" w:cs="Cambria"/>
          <w:b/>
          <w:sz w:val="20"/>
          <w:szCs w:val="20"/>
          <w:u w:val="single"/>
        </w:rPr>
        <w:t xml:space="preserve">Very little appreciation </w:t>
      </w:r>
      <w:r>
        <w:rPr>
          <w:rFonts w:ascii="Cambria" w:eastAsia="Cambria" w:hAnsi="Cambria" w:cs="Cambria"/>
          <w:sz w:val="20"/>
          <w:szCs w:val="20"/>
        </w:rPr>
        <w:t>for audience, terminology and lack of respect for the learning process</w:t>
      </w:r>
    </w:p>
    <w:p w:rsidR="00E90DAF" w:rsidRDefault="003472DC">
      <w:pPr>
        <w:ind w:left="-540" w:right="-540"/>
        <w:rPr>
          <w:rFonts w:ascii="Cambria" w:eastAsia="Cambria" w:hAnsi="Cambria" w:cs="Cambria"/>
          <w:b/>
          <w:sz w:val="20"/>
          <w:szCs w:val="20"/>
        </w:rPr>
      </w:pPr>
      <w:r>
        <w:rPr>
          <w:rFonts w:ascii="Cambria" w:eastAsia="Cambria" w:hAnsi="Cambria" w:cs="Cambria"/>
          <w:b/>
          <w:sz w:val="20"/>
          <w:szCs w:val="20"/>
        </w:rPr>
        <w:t xml:space="preserve">Level 2 </w:t>
      </w:r>
    </w:p>
    <w:p w:rsidR="00E90DAF" w:rsidRDefault="003472DC">
      <w:pPr>
        <w:numPr>
          <w:ilvl w:val="0"/>
          <w:numId w:val="3"/>
        </w:numPr>
        <w:ind w:right="-540" w:hanging="360"/>
        <w:contextualSpacing/>
        <w:rPr>
          <w:rFonts w:ascii="Cambria" w:eastAsia="Cambria" w:hAnsi="Cambria" w:cs="Cambria"/>
          <w:sz w:val="20"/>
          <w:szCs w:val="20"/>
        </w:rPr>
      </w:pPr>
      <w:r>
        <w:rPr>
          <w:rFonts w:ascii="Cambria" w:eastAsia="Cambria" w:hAnsi="Cambria" w:cs="Cambria"/>
          <w:sz w:val="20"/>
          <w:szCs w:val="20"/>
        </w:rPr>
        <w:t xml:space="preserve">Student demonstrates </w:t>
      </w:r>
      <w:r>
        <w:rPr>
          <w:rFonts w:ascii="Cambria" w:eastAsia="Cambria" w:hAnsi="Cambria" w:cs="Cambria"/>
          <w:b/>
          <w:sz w:val="20"/>
          <w:szCs w:val="20"/>
          <w:u w:val="single"/>
        </w:rPr>
        <w:t xml:space="preserve">little knowledge </w:t>
      </w:r>
      <w:r>
        <w:rPr>
          <w:rFonts w:ascii="Cambria" w:eastAsia="Cambria" w:hAnsi="Cambria" w:cs="Cambria"/>
          <w:sz w:val="20"/>
          <w:szCs w:val="20"/>
        </w:rPr>
        <w:t>or understanding of the content, with</w:t>
      </w:r>
      <w:r>
        <w:rPr>
          <w:rFonts w:ascii="Cambria" w:eastAsia="Cambria" w:hAnsi="Cambria" w:cs="Cambria"/>
          <w:b/>
          <w:sz w:val="20"/>
          <w:szCs w:val="20"/>
          <w:u w:val="single"/>
        </w:rPr>
        <w:t xml:space="preserve"> weak comprehension</w:t>
      </w:r>
      <w:r>
        <w:rPr>
          <w:rFonts w:ascii="Cambria" w:eastAsia="Cambria" w:hAnsi="Cambria" w:cs="Cambria"/>
          <w:sz w:val="20"/>
          <w:szCs w:val="20"/>
        </w:rPr>
        <w:t xml:space="preserve"> of concepts and context</w:t>
      </w:r>
    </w:p>
    <w:p w:rsidR="00E90DAF" w:rsidRDefault="003472DC">
      <w:pPr>
        <w:numPr>
          <w:ilvl w:val="0"/>
          <w:numId w:val="3"/>
        </w:numPr>
        <w:ind w:right="-540" w:hanging="360"/>
        <w:contextualSpacing/>
        <w:rPr>
          <w:rFonts w:ascii="Cambria" w:eastAsia="Cambria" w:hAnsi="Cambria" w:cs="Cambria"/>
          <w:sz w:val="20"/>
          <w:szCs w:val="20"/>
        </w:rPr>
      </w:pPr>
      <w:r>
        <w:rPr>
          <w:rFonts w:ascii="Cambria" w:eastAsia="Cambria" w:hAnsi="Cambria" w:cs="Cambria"/>
          <w:sz w:val="20"/>
          <w:szCs w:val="20"/>
        </w:rPr>
        <w:t xml:space="preserve">Evidence of research and investigation is </w:t>
      </w:r>
      <w:r>
        <w:rPr>
          <w:rFonts w:ascii="Cambria" w:eastAsia="Cambria" w:hAnsi="Cambria" w:cs="Cambria"/>
          <w:b/>
          <w:sz w:val="20"/>
          <w:szCs w:val="20"/>
          <w:u w:val="single"/>
        </w:rPr>
        <w:t>only superficial, little ability</w:t>
      </w:r>
      <w:r>
        <w:rPr>
          <w:rFonts w:ascii="Cambria" w:eastAsia="Cambria" w:hAnsi="Cambria" w:cs="Cambria"/>
          <w:sz w:val="20"/>
          <w:szCs w:val="20"/>
        </w:rPr>
        <w:t xml:space="preserve"> to comprehend the assignment/task</w:t>
      </w:r>
    </w:p>
    <w:p w:rsidR="00E90DAF" w:rsidRDefault="003472DC">
      <w:pPr>
        <w:numPr>
          <w:ilvl w:val="0"/>
          <w:numId w:val="3"/>
        </w:numPr>
        <w:ind w:right="-540" w:hanging="360"/>
        <w:contextualSpacing/>
        <w:rPr>
          <w:rFonts w:ascii="Cambria" w:eastAsia="Cambria" w:hAnsi="Cambria" w:cs="Cambria"/>
          <w:sz w:val="20"/>
          <w:szCs w:val="20"/>
        </w:rPr>
      </w:pPr>
      <w:r>
        <w:rPr>
          <w:rFonts w:ascii="Cambria" w:eastAsia="Cambria" w:hAnsi="Cambria" w:cs="Cambria"/>
          <w:sz w:val="20"/>
          <w:szCs w:val="20"/>
        </w:rPr>
        <w:t>Some attempt to express ideas and use terminology related to the subject/topic but is</w:t>
      </w:r>
      <w:r>
        <w:rPr>
          <w:rFonts w:ascii="Cambria" w:eastAsia="Cambria" w:hAnsi="Cambria" w:cs="Cambria"/>
          <w:b/>
          <w:sz w:val="20"/>
          <w:szCs w:val="20"/>
          <w:u w:val="single"/>
        </w:rPr>
        <w:t xml:space="preserve"> often unconvincing or void of evidence</w:t>
      </w:r>
    </w:p>
    <w:p w:rsidR="00E90DAF" w:rsidRDefault="003472DC">
      <w:pPr>
        <w:numPr>
          <w:ilvl w:val="0"/>
          <w:numId w:val="3"/>
        </w:numPr>
        <w:ind w:right="-540" w:hanging="360"/>
        <w:contextualSpacing/>
        <w:rPr>
          <w:rFonts w:ascii="Cambria" w:eastAsia="Cambria" w:hAnsi="Cambria" w:cs="Cambria"/>
          <w:sz w:val="20"/>
          <w:szCs w:val="20"/>
        </w:rPr>
      </w:pPr>
      <w:r>
        <w:rPr>
          <w:rFonts w:ascii="Cambria" w:eastAsia="Cambria" w:hAnsi="Cambria" w:cs="Cambria"/>
          <w:b/>
          <w:sz w:val="20"/>
          <w:szCs w:val="20"/>
          <w:u w:val="single"/>
        </w:rPr>
        <w:t>Little appreciation</w:t>
      </w:r>
      <w:r>
        <w:rPr>
          <w:rFonts w:ascii="Cambria" w:eastAsia="Cambria" w:hAnsi="Cambria" w:cs="Cambria"/>
          <w:sz w:val="20"/>
          <w:szCs w:val="20"/>
        </w:rPr>
        <w:t xml:space="preserve"> for audience and an indication of respect for the learning process</w:t>
      </w:r>
    </w:p>
    <w:p w:rsidR="00E90DAF" w:rsidRDefault="003472DC">
      <w:pPr>
        <w:ind w:left="-540" w:right="-540"/>
        <w:rPr>
          <w:rFonts w:ascii="Cambria" w:eastAsia="Cambria" w:hAnsi="Cambria" w:cs="Cambria"/>
          <w:b/>
          <w:sz w:val="20"/>
          <w:szCs w:val="20"/>
        </w:rPr>
      </w:pPr>
      <w:r>
        <w:rPr>
          <w:rFonts w:ascii="Cambria" w:eastAsia="Cambria" w:hAnsi="Cambria" w:cs="Cambria"/>
          <w:b/>
          <w:sz w:val="20"/>
          <w:szCs w:val="20"/>
        </w:rPr>
        <w:t xml:space="preserve">Level 3 </w:t>
      </w:r>
    </w:p>
    <w:p w:rsidR="00E90DAF" w:rsidRDefault="003472DC">
      <w:pPr>
        <w:numPr>
          <w:ilvl w:val="0"/>
          <w:numId w:val="5"/>
        </w:numPr>
        <w:ind w:right="-540" w:hanging="360"/>
        <w:contextualSpacing/>
        <w:rPr>
          <w:rFonts w:ascii="Cambria" w:eastAsia="Cambria" w:hAnsi="Cambria" w:cs="Cambria"/>
          <w:sz w:val="20"/>
          <w:szCs w:val="20"/>
        </w:rPr>
      </w:pPr>
      <w:r>
        <w:rPr>
          <w:rFonts w:ascii="Cambria" w:eastAsia="Cambria" w:hAnsi="Cambria" w:cs="Cambria"/>
          <w:sz w:val="20"/>
          <w:szCs w:val="20"/>
        </w:rPr>
        <w:t xml:space="preserve">Student demonstrates </w:t>
      </w:r>
      <w:r>
        <w:rPr>
          <w:rFonts w:ascii="Cambria" w:eastAsia="Cambria" w:hAnsi="Cambria" w:cs="Cambria"/>
          <w:b/>
          <w:sz w:val="20"/>
          <w:szCs w:val="20"/>
          <w:u w:val="single"/>
        </w:rPr>
        <w:t>basic knowledge and understanding</w:t>
      </w:r>
      <w:r>
        <w:rPr>
          <w:rFonts w:ascii="Cambria" w:eastAsia="Cambria" w:hAnsi="Cambria" w:cs="Cambria"/>
          <w:sz w:val="20"/>
          <w:szCs w:val="20"/>
        </w:rPr>
        <w:t xml:space="preserve"> of the content, with</w:t>
      </w:r>
      <w:r>
        <w:rPr>
          <w:rFonts w:ascii="Cambria" w:eastAsia="Cambria" w:hAnsi="Cambria" w:cs="Cambria"/>
          <w:b/>
          <w:sz w:val="20"/>
          <w:szCs w:val="20"/>
          <w:u w:val="single"/>
        </w:rPr>
        <w:t xml:space="preserve"> limited evidence</w:t>
      </w:r>
      <w:r>
        <w:rPr>
          <w:rFonts w:ascii="Cambria" w:eastAsia="Cambria" w:hAnsi="Cambria" w:cs="Cambria"/>
          <w:sz w:val="20"/>
          <w:szCs w:val="20"/>
        </w:rPr>
        <w:t xml:space="preserve"> of conceptual or contextual awareness</w:t>
      </w:r>
    </w:p>
    <w:p w:rsidR="00E90DAF" w:rsidRDefault="003472DC">
      <w:pPr>
        <w:numPr>
          <w:ilvl w:val="0"/>
          <w:numId w:val="5"/>
        </w:numPr>
        <w:ind w:right="-540" w:hanging="360"/>
        <w:contextualSpacing/>
        <w:rPr>
          <w:rFonts w:ascii="Cambria" w:eastAsia="Cambria" w:hAnsi="Cambria" w:cs="Cambria"/>
          <w:sz w:val="20"/>
          <w:szCs w:val="20"/>
        </w:rPr>
      </w:pPr>
      <w:r>
        <w:rPr>
          <w:rFonts w:ascii="Cambria" w:eastAsia="Cambria" w:hAnsi="Cambria" w:cs="Cambria"/>
          <w:sz w:val="20"/>
          <w:szCs w:val="20"/>
        </w:rPr>
        <w:t>Research and investigation is</w:t>
      </w:r>
      <w:r>
        <w:rPr>
          <w:rFonts w:ascii="Cambria" w:eastAsia="Cambria" w:hAnsi="Cambria" w:cs="Cambria"/>
          <w:b/>
          <w:sz w:val="20"/>
          <w:szCs w:val="20"/>
          <w:u w:val="single"/>
        </w:rPr>
        <w:t xml:space="preserve"> evident but underdeveloped</w:t>
      </w:r>
    </w:p>
    <w:p w:rsidR="00E90DAF" w:rsidRDefault="003472DC">
      <w:pPr>
        <w:numPr>
          <w:ilvl w:val="0"/>
          <w:numId w:val="5"/>
        </w:numPr>
        <w:ind w:right="-540" w:hanging="360"/>
        <w:contextualSpacing/>
        <w:rPr>
          <w:rFonts w:ascii="Cambria" w:eastAsia="Cambria" w:hAnsi="Cambria" w:cs="Cambria"/>
          <w:sz w:val="20"/>
          <w:szCs w:val="20"/>
        </w:rPr>
      </w:pPr>
      <w:r>
        <w:rPr>
          <w:rFonts w:ascii="Cambria" w:eastAsia="Cambria" w:hAnsi="Cambria" w:cs="Cambria"/>
          <w:sz w:val="20"/>
          <w:szCs w:val="20"/>
        </w:rPr>
        <w:t xml:space="preserve">Response are sometimes </w:t>
      </w:r>
      <w:r>
        <w:rPr>
          <w:rFonts w:ascii="Cambria" w:eastAsia="Cambria" w:hAnsi="Cambria" w:cs="Cambria"/>
          <w:b/>
          <w:sz w:val="20"/>
          <w:szCs w:val="20"/>
          <w:u w:val="single"/>
        </w:rPr>
        <w:t>valid but only minimally detailed</w:t>
      </w:r>
      <w:r>
        <w:rPr>
          <w:rFonts w:ascii="Cambria" w:eastAsia="Cambria" w:hAnsi="Cambria" w:cs="Cambria"/>
          <w:sz w:val="20"/>
          <w:szCs w:val="20"/>
        </w:rPr>
        <w:t xml:space="preserve"> with evidence/proof</w:t>
      </w:r>
    </w:p>
    <w:p w:rsidR="00E90DAF" w:rsidRDefault="003472DC">
      <w:pPr>
        <w:numPr>
          <w:ilvl w:val="0"/>
          <w:numId w:val="5"/>
        </w:numPr>
        <w:ind w:right="-540" w:hanging="360"/>
        <w:contextualSpacing/>
        <w:rPr>
          <w:rFonts w:ascii="Cambria" w:eastAsia="Cambria" w:hAnsi="Cambria" w:cs="Cambria"/>
          <w:sz w:val="20"/>
          <w:szCs w:val="20"/>
        </w:rPr>
      </w:pPr>
      <w:r>
        <w:rPr>
          <w:rFonts w:ascii="Cambria" w:eastAsia="Cambria" w:hAnsi="Cambria" w:cs="Cambria"/>
          <w:sz w:val="20"/>
          <w:szCs w:val="20"/>
        </w:rPr>
        <w:t>Some expression of ideas and use of terminology but there is a</w:t>
      </w:r>
      <w:r>
        <w:rPr>
          <w:rFonts w:ascii="Cambria" w:eastAsia="Cambria" w:hAnsi="Cambria" w:cs="Cambria"/>
          <w:b/>
          <w:sz w:val="20"/>
          <w:szCs w:val="20"/>
          <w:u w:val="single"/>
        </w:rPr>
        <w:t xml:space="preserve"> lack of clarity</w:t>
      </w:r>
      <w:r>
        <w:rPr>
          <w:rFonts w:ascii="Cambria" w:eastAsia="Cambria" w:hAnsi="Cambria" w:cs="Cambria"/>
          <w:sz w:val="20"/>
          <w:szCs w:val="20"/>
        </w:rPr>
        <w:t xml:space="preserve"> and material is irrelevant to the task/topic</w:t>
      </w:r>
    </w:p>
    <w:p w:rsidR="00E90DAF" w:rsidRDefault="003472DC">
      <w:pPr>
        <w:ind w:left="-540" w:right="-540"/>
        <w:rPr>
          <w:rFonts w:ascii="Cambria" w:eastAsia="Cambria" w:hAnsi="Cambria" w:cs="Cambria"/>
          <w:sz w:val="20"/>
          <w:szCs w:val="20"/>
        </w:rPr>
      </w:pPr>
      <w:r>
        <w:rPr>
          <w:rFonts w:ascii="Cambria" w:eastAsia="Cambria" w:hAnsi="Cambria" w:cs="Cambria"/>
          <w:b/>
          <w:sz w:val="20"/>
          <w:szCs w:val="20"/>
        </w:rPr>
        <w:t>Level 4</w:t>
      </w:r>
      <w:r>
        <w:rPr>
          <w:rFonts w:ascii="Cambria" w:eastAsia="Cambria" w:hAnsi="Cambria" w:cs="Cambria"/>
          <w:sz w:val="20"/>
          <w:szCs w:val="20"/>
        </w:rPr>
        <w:t xml:space="preserve"> </w:t>
      </w:r>
    </w:p>
    <w:p w:rsidR="00E90DAF" w:rsidRDefault="003472DC">
      <w:pPr>
        <w:numPr>
          <w:ilvl w:val="0"/>
          <w:numId w:val="7"/>
        </w:numPr>
        <w:ind w:right="-540" w:hanging="360"/>
        <w:contextualSpacing/>
        <w:rPr>
          <w:rFonts w:ascii="Cambria" w:eastAsia="Cambria" w:hAnsi="Cambria" w:cs="Cambria"/>
          <w:sz w:val="20"/>
          <w:szCs w:val="20"/>
        </w:rPr>
      </w:pPr>
      <w:r>
        <w:rPr>
          <w:rFonts w:ascii="Cambria" w:eastAsia="Cambria" w:hAnsi="Cambria" w:cs="Cambria"/>
          <w:sz w:val="20"/>
          <w:szCs w:val="20"/>
        </w:rPr>
        <w:t xml:space="preserve">Student demonstrates </w:t>
      </w:r>
      <w:r>
        <w:rPr>
          <w:rFonts w:ascii="Cambria" w:eastAsia="Cambria" w:hAnsi="Cambria" w:cs="Cambria"/>
          <w:b/>
          <w:sz w:val="20"/>
          <w:szCs w:val="20"/>
          <w:u w:val="single"/>
        </w:rPr>
        <w:t xml:space="preserve">some content knowledge </w:t>
      </w:r>
      <w:r>
        <w:rPr>
          <w:rFonts w:ascii="Cambria" w:eastAsia="Cambria" w:hAnsi="Cambria" w:cs="Cambria"/>
          <w:sz w:val="20"/>
          <w:szCs w:val="20"/>
        </w:rPr>
        <w:t xml:space="preserve">and understanding, </w:t>
      </w:r>
      <w:r>
        <w:rPr>
          <w:rFonts w:ascii="Cambria" w:eastAsia="Cambria" w:hAnsi="Cambria" w:cs="Cambria"/>
          <w:b/>
          <w:sz w:val="20"/>
          <w:szCs w:val="20"/>
          <w:u w:val="single"/>
        </w:rPr>
        <w:t>some conceptual</w:t>
      </w:r>
      <w:r>
        <w:rPr>
          <w:rFonts w:ascii="Cambria" w:eastAsia="Cambria" w:hAnsi="Cambria" w:cs="Cambria"/>
          <w:sz w:val="20"/>
          <w:szCs w:val="20"/>
        </w:rPr>
        <w:t xml:space="preserve"> and contextual awareness and there is evidence of critical thinking</w:t>
      </w:r>
    </w:p>
    <w:p w:rsidR="00E90DAF" w:rsidRDefault="003472DC">
      <w:pPr>
        <w:numPr>
          <w:ilvl w:val="0"/>
          <w:numId w:val="7"/>
        </w:numPr>
        <w:ind w:right="-540" w:hanging="360"/>
        <w:contextualSpacing/>
        <w:rPr>
          <w:rFonts w:ascii="Cambria" w:eastAsia="Cambria" w:hAnsi="Cambria" w:cs="Cambria"/>
          <w:sz w:val="20"/>
          <w:szCs w:val="20"/>
        </w:rPr>
      </w:pPr>
      <w:r>
        <w:rPr>
          <w:rFonts w:ascii="Cambria" w:eastAsia="Cambria" w:hAnsi="Cambria" w:cs="Cambria"/>
          <w:sz w:val="20"/>
          <w:szCs w:val="20"/>
        </w:rPr>
        <w:t>Research and Investigation skills are</w:t>
      </w:r>
      <w:r>
        <w:rPr>
          <w:rFonts w:ascii="Cambria" w:eastAsia="Cambria" w:hAnsi="Cambria" w:cs="Cambria"/>
          <w:b/>
          <w:sz w:val="20"/>
          <w:szCs w:val="20"/>
          <w:u w:val="single"/>
        </w:rPr>
        <w:t xml:space="preserve"> evident</w:t>
      </w:r>
      <w:r>
        <w:rPr>
          <w:rFonts w:ascii="Cambria" w:eastAsia="Cambria" w:hAnsi="Cambria" w:cs="Cambria"/>
          <w:sz w:val="20"/>
          <w:szCs w:val="20"/>
        </w:rPr>
        <w:t xml:space="preserve">, analysis is </w:t>
      </w:r>
      <w:r>
        <w:rPr>
          <w:rFonts w:ascii="Cambria" w:eastAsia="Cambria" w:hAnsi="Cambria" w:cs="Cambria"/>
          <w:b/>
          <w:sz w:val="20"/>
          <w:szCs w:val="20"/>
          <w:u w:val="single"/>
        </w:rPr>
        <w:t xml:space="preserve">valid </w:t>
      </w:r>
      <w:r>
        <w:rPr>
          <w:rFonts w:ascii="Cambria" w:eastAsia="Cambria" w:hAnsi="Cambria" w:cs="Cambria"/>
          <w:sz w:val="20"/>
          <w:szCs w:val="20"/>
        </w:rPr>
        <w:t>but more narrative or descriptive than evaluative</w:t>
      </w:r>
    </w:p>
    <w:p w:rsidR="00E90DAF" w:rsidRDefault="003472DC">
      <w:pPr>
        <w:numPr>
          <w:ilvl w:val="0"/>
          <w:numId w:val="7"/>
        </w:numPr>
        <w:ind w:right="-540" w:hanging="360"/>
        <w:contextualSpacing/>
        <w:rPr>
          <w:rFonts w:ascii="Cambria" w:eastAsia="Cambria" w:hAnsi="Cambria" w:cs="Cambria"/>
          <w:sz w:val="20"/>
          <w:szCs w:val="20"/>
        </w:rPr>
      </w:pPr>
      <w:r>
        <w:rPr>
          <w:rFonts w:ascii="Cambria" w:eastAsia="Cambria" w:hAnsi="Cambria" w:cs="Cambria"/>
          <w:sz w:val="20"/>
          <w:szCs w:val="20"/>
        </w:rPr>
        <w:t xml:space="preserve">Responses for </w:t>
      </w:r>
      <w:r>
        <w:rPr>
          <w:rFonts w:ascii="Cambria" w:eastAsia="Cambria" w:hAnsi="Cambria" w:cs="Cambria"/>
          <w:b/>
          <w:sz w:val="20"/>
          <w:szCs w:val="20"/>
          <w:u w:val="single"/>
        </w:rPr>
        <w:t>accurate and clear</w:t>
      </w:r>
      <w:r>
        <w:rPr>
          <w:rFonts w:ascii="Cambria" w:eastAsia="Cambria" w:hAnsi="Cambria" w:cs="Cambria"/>
          <w:sz w:val="20"/>
          <w:szCs w:val="20"/>
        </w:rPr>
        <w:t xml:space="preserve"> with very little irrelevant material, some logically structured responses with proper terminology</w:t>
      </w:r>
    </w:p>
    <w:p w:rsidR="00E90DAF" w:rsidRDefault="003472DC">
      <w:pPr>
        <w:ind w:left="-540" w:right="-540"/>
        <w:rPr>
          <w:rFonts w:ascii="Cambria" w:eastAsia="Cambria" w:hAnsi="Cambria" w:cs="Cambria"/>
          <w:b/>
          <w:sz w:val="20"/>
          <w:szCs w:val="20"/>
        </w:rPr>
      </w:pPr>
      <w:r>
        <w:rPr>
          <w:rFonts w:ascii="Cambria" w:eastAsia="Cambria" w:hAnsi="Cambria" w:cs="Cambria"/>
          <w:b/>
          <w:sz w:val="20"/>
          <w:szCs w:val="20"/>
        </w:rPr>
        <w:t xml:space="preserve">Level 5 </w:t>
      </w:r>
    </w:p>
    <w:p w:rsidR="00E90DAF" w:rsidRDefault="003472DC">
      <w:pPr>
        <w:numPr>
          <w:ilvl w:val="0"/>
          <w:numId w:val="1"/>
        </w:numPr>
        <w:ind w:right="-540" w:hanging="360"/>
        <w:contextualSpacing/>
        <w:rPr>
          <w:rFonts w:ascii="Cambria" w:eastAsia="Cambria" w:hAnsi="Cambria" w:cs="Cambria"/>
          <w:sz w:val="20"/>
          <w:szCs w:val="20"/>
        </w:rPr>
      </w:pPr>
      <w:r>
        <w:rPr>
          <w:rFonts w:ascii="Cambria" w:eastAsia="Cambria" w:hAnsi="Cambria" w:cs="Cambria"/>
          <w:sz w:val="20"/>
          <w:szCs w:val="20"/>
        </w:rPr>
        <w:t xml:space="preserve">Student demonstrated </w:t>
      </w:r>
      <w:r>
        <w:rPr>
          <w:rFonts w:ascii="Cambria" w:eastAsia="Cambria" w:hAnsi="Cambria" w:cs="Cambria"/>
          <w:b/>
          <w:sz w:val="20"/>
          <w:szCs w:val="20"/>
          <w:u w:val="single"/>
        </w:rPr>
        <w:t xml:space="preserve">sound </w:t>
      </w:r>
      <w:r>
        <w:rPr>
          <w:rFonts w:ascii="Cambria" w:eastAsia="Cambria" w:hAnsi="Cambria" w:cs="Cambria"/>
          <w:sz w:val="20"/>
          <w:szCs w:val="20"/>
        </w:rPr>
        <w:t xml:space="preserve">content knowledge and understanding, </w:t>
      </w:r>
      <w:r>
        <w:rPr>
          <w:rFonts w:ascii="Cambria" w:eastAsia="Cambria" w:hAnsi="Cambria" w:cs="Cambria"/>
          <w:b/>
          <w:sz w:val="20"/>
          <w:szCs w:val="20"/>
          <w:u w:val="single"/>
        </w:rPr>
        <w:t>good conceptual</w:t>
      </w:r>
      <w:r>
        <w:rPr>
          <w:rFonts w:ascii="Cambria" w:eastAsia="Cambria" w:hAnsi="Cambria" w:cs="Cambria"/>
          <w:sz w:val="20"/>
          <w:szCs w:val="20"/>
        </w:rPr>
        <w:t xml:space="preserve"> and evidence of contextual awareness and critical, reflective thinking</w:t>
      </w:r>
    </w:p>
    <w:p w:rsidR="00E90DAF" w:rsidRDefault="003472DC">
      <w:pPr>
        <w:numPr>
          <w:ilvl w:val="0"/>
          <w:numId w:val="1"/>
        </w:numPr>
        <w:ind w:right="-540" w:hanging="360"/>
        <w:contextualSpacing/>
        <w:rPr>
          <w:rFonts w:ascii="Cambria" w:eastAsia="Cambria" w:hAnsi="Cambria" w:cs="Cambria"/>
          <w:sz w:val="20"/>
          <w:szCs w:val="20"/>
        </w:rPr>
      </w:pPr>
      <w:r>
        <w:rPr>
          <w:rFonts w:ascii="Cambria" w:eastAsia="Cambria" w:hAnsi="Cambria" w:cs="Cambria"/>
          <w:b/>
          <w:sz w:val="20"/>
          <w:szCs w:val="20"/>
          <w:u w:val="single"/>
        </w:rPr>
        <w:lastRenderedPageBreak/>
        <w:t>Effective</w:t>
      </w:r>
      <w:r>
        <w:rPr>
          <w:rFonts w:ascii="Cambria" w:eastAsia="Cambria" w:hAnsi="Cambria" w:cs="Cambria"/>
          <w:sz w:val="20"/>
          <w:szCs w:val="20"/>
        </w:rPr>
        <w:t xml:space="preserve"> research and investigative skills are evident and </w:t>
      </w:r>
      <w:r>
        <w:rPr>
          <w:rFonts w:ascii="Cambria" w:eastAsia="Cambria" w:hAnsi="Cambria" w:cs="Cambria"/>
          <w:b/>
          <w:sz w:val="20"/>
          <w:szCs w:val="20"/>
          <w:u w:val="single"/>
        </w:rPr>
        <w:t>sometimes developed</w:t>
      </w:r>
    </w:p>
    <w:p w:rsidR="00E90DAF" w:rsidRDefault="003472DC">
      <w:pPr>
        <w:numPr>
          <w:ilvl w:val="0"/>
          <w:numId w:val="1"/>
        </w:numPr>
        <w:ind w:right="-540" w:hanging="360"/>
        <w:contextualSpacing/>
        <w:rPr>
          <w:rFonts w:ascii="Cambria" w:eastAsia="Cambria" w:hAnsi="Cambria" w:cs="Cambria"/>
          <w:sz w:val="20"/>
          <w:szCs w:val="20"/>
        </w:rPr>
      </w:pPr>
      <w:r>
        <w:rPr>
          <w:rFonts w:ascii="Cambria" w:eastAsia="Cambria" w:hAnsi="Cambria" w:cs="Cambria"/>
          <w:sz w:val="20"/>
          <w:szCs w:val="20"/>
        </w:rPr>
        <w:t xml:space="preserve">Analytical ability is </w:t>
      </w:r>
      <w:r>
        <w:rPr>
          <w:rFonts w:ascii="Cambria" w:eastAsia="Cambria" w:hAnsi="Cambria" w:cs="Cambria"/>
          <w:b/>
          <w:sz w:val="20"/>
          <w:szCs w:val="20"/>
          <w:u w:val="single"/>
        </w:rPr>
        <w:t>evident</w:t>
      </w:r>
      <w:r>
        <w:rPr>
          <w:rFonts w:ascii="Cambria" w:eastAsia="Cambria" w:hAnsi="Cambria" w:cs="Cambria"/>
          <w:sz w:val="20"/>
          <w:szCs w:val="20"/>
        </w:rPr>
        <w:t>, although there is still some description or narrative present</w:t>
      </w:r>
    </w:p>
    <w:p w:rsidR="00E90DAF" w:rsidRDefault="003472DC">
      <w:pPr>
        <w:numPr>
          <w:ilvl w:val="0"/>
          <w:numId w:val="1"/>
        </w:numPr>
        <w:ind w:right="-540" w:hanging="360"/>
        <w:contextualSpacing/>
        <w:rPr>
          <w:rFonts w:ascii="Cambria" w:eastAsia="Cambria" w:hAnsi="Cambria" w:cs="Cambria"/>
          <w:sz w:val="20"/>
          <w:szCs w:val="20"/>
        </w:rPr>
      </w:pPr>
      <w:r>
        <w:rPr>
          <w:rFonts w:ascii="Cambria" w:eastAsia="Cambria" w:hAnsi="Cambria" w:cs="Cambria"/>
          <w:sz w:val="20"/>
          <w:szCs w:val="20"/>
        </w:rPr>
        <w:t xml:space="preserve">Responses are </w:t>
      </w:r>
      <w:r>
        <w:rPr>
          <w:rFonts w:ascii="Cambria" w:eastAsia="Cambria" w:hAnsi="Cambria" w:cs="Cambria"/>
          <w:b/>
          <w:sz w:val="20"/>
          <w:szCs w:val="20"/>
          <w:u w:val="single"/>
        </w:rPr>
        <w:t>generally</w:t>
      </w:r>
      <w:r>
        <w:rPr>
          <w:rFonts w:ascii="Cambria" w:eastAsia="Cambria" w:hAnsi="Cambria" w:cs="Cambria"/>
          <w:sz w:val="20"/>
          <w:szCs w:val="20"/>
        </w:rPr>
        <w:t xml:space="preserve"> insightful, accurate, clear, concise, convincing, with relevant detail/evidence and use of terminology is appropriate </w:t>
      </w:r>
    </w:p>
    <w:p w:rsidR="00E90DAF" w:rsidRDefault="003472DC">
      <w:pPr>
        <w:numPr>
          <w:ilvl w:val="0"/>
          <w:numId w:val="1"/>
        </w:numPr>
        <w:ind w:right="-540" w:hanging="360"/>
        <w:contextualSpacing/>
        <w:rPr>
          <w:rFonts w:ascii="Cambria" w:eastAsia="Cambria" w:hAnsi="Cambria" w:cs="Cambria"/>
          <w:sz w:val="20"/>
          <w:szCs w:val="20"/>
        </w:rPr>
      </w:pPr>
      <w:r>
        <w:rPr>
          <w:rFonts w:ascii="Cambria" w:eastAsia="Cambria" w:hAnsi="Cambria" w:cs="Cambria"/>
          <w:b/>
          <w:sz w:val="20"/>
          <w:szCs w:val="20"/>
          <w:u w:val="single"/>
        </w:rPr>
        <w:t>Effective</w:t>
      </w:r>
      <w:r>
        <w:rPr>
          <w:rFonts w:ascii="Cambria" w:eastAsia="Cambria" w:hAnsi="Cambria" w:cs="Cambria"/>
          <w:sz w:val="20"/>
          <w:szCs w:val="20"/>
        </w:rPr>
        <w:t xml:space="preserve"> thinking and inquiry process and critical thinking assessment ability.  </w:t>
      </w:r>
    </w:p>
    <w:p w:rsidR="00E90DAF" w:rsidRDefault="003472DC">
      <w:pPr>
        <w:ind w:left="-540" w:right="-540"/>
        <w:rPr>
          <w:rFonts w:ascii="Cambria" w:eastAsia="Cambria" w:hAnsi="Cambria" w:cs="Cambria"/>
          <w:b/>
          <w:sz w:val="20"/>
          <w:szCs w:val="20"/>
        </w:rPr>
      </w:pPr>
      <w:r>
        <w:rPr>
          <w:rFonts w:ascii="Cambria" w:eastAsia="Cambria" w:hAnsi="Cambria" w:cs="Cambria"/>
          <w:b/>
          <w:sz w:val="20"/>
          <w:szCs w:val="20"/>
        </w:rPr>
        <w:t xml:space="preserve">Level 6 </w:t>
      </w:r>
    </w:p>
    <w:p w:rsidR="00E90DAF" w:rsidRDefault="003472DC">
      <w:pPr>
        <w:numPr>
          <w:ilvl w:val="0"/>
          <w:numId w:val="4"/>
        </w:numPr>
        <w:ind w:right="-540" w:hanging="360"/>
        <w:contextualSpacing/>
        <w:rPr>
          <w:rFonts w:ascii="Cambria" w:eastAsia="Cambria" w:hAnsi="Cambria" w:cs="Cambria"/>
          <w:sz w:val="20"/>
          <w:szCs w:val="20"/>
        </w:rPr>
      </w:pPr>
      <w:r>
        <w:rPr>
          <w:rFonts w:ascii="Cambria" w:eastAsia="Cambria" w:hAnsi="Cambria" w:cs="Cambria"/>
          <w:sz w:val="20"/>
          <w:szCs w:val="20"/>
        </w:rPr>
        <w:t xml:space="preserve">Student demonstrated </w:t>
      </w:r>
      <w:r>
        <w:rPr>
          <w:rFonts w:ascii="Cambria" w:eastAsia="Cambria" w:hAnsi="Cambria" w:cs="Cambria"/>
          <w:b/>
          <w:sz w:val="20"/>
          <w:szCs w:val="20"/>
          <w:u w:val="single"/>
        </w:rPr>
        <w:t xml:space="preserve">very good </w:t>
      </w:r>
      <w:r>
        <w:rPr>
          <w:rFonts w:ascii="Cambria" w:eastAsia="Cambria" w:hAnsi="Cambria" w:cs="Cambria"/>
          <w:sz w:val="20"/>
          <w:szCs w:val="20"/>
        </w:rPr>
        <w:t>content knowledge and understanding, conceptual and contextual awareness and critical, reflective thinking</w:t>
      </w:r>
    </w:p>
    <w:p w:rsidR="00E90DAF" w:rsidRDefault="003472DC">
      <w:pPr>
        <w:numPr>
          <w:ilvl w:val="0"/>
          <w:numId w:val="4"/>
        </w:numPr>
        <w:ind w:right="-540" w:hanging="360"/>
        <w:contextualSpacing/>
        <w:rPr>
          <w:rFonts w:ascii="Cambria" w:eastAsia="Cambria" w:hAnsi="Cambria" w:cs="Cambria"/>
          <w:sz w:val="20"/>
          <w:szCs w:val="20"/>
        </w:rPr>
      </w:pPr>
      <w:r>
        <w:rPr>
          <w:rFonts w:ascii="Cambria" w:eastAsia="Cambria" w:hAnsi="Cambria" w:cs="Cambria"/>
          <w:b/>
          <w:sz w:val="20"/>
          <w:szCs w:val="20"/>
          <w:u w:val="single"/>
        </w:rPr>
        <w:t>Competent</w:t>
      </w:r>
      <w:r>
        <w:rPr>
          <w:rFonts w:ascii="Cambria" w:eastAsia="Cambria" w:hAnsi="Cambria" w:cs="Cambria"/>
          <w:sz w:val="20"/>
          <w:szCs w:val="20"/>
        </w:rPr>
        <w:t xml:space="preserve"> research and investigative skills are evident, ability to analyse, evaluate and synthesize different types of evidence to reach  valid conclusions is</w:t>
      </w:r>
      <w:r>
        <w:rPr>
          <w:rFonts w:ascii="Cambria" w:eastAsia="Cambria" w:hAnsi="Cambria" w:cs="Cambria"/>
          <w:b/>
          <w:sz w:val="20"/>
          <w:szCs w:val="20"/>
          <w:u w:val="single"/>
        </w:rPr>
        <w:t xml:space="preserve"> developed</w:t>
      </w:r>
    </w:p>
    <w:p w:rsidR="00E90DAF" w:rsidRDefault="003472DC">
      <w:pPr>
        <w:numPr>
          <w:ilvl w:val="0"/>
          <w:numId w:val="4"/>
        </w:numPr>
        <w:ind w:right="-540" w:hanging="360"/>
        <w:contextualSpacing/>
        <w:rPr>
          <w:rFonts w:ascii="Cambria" w:eastAsia="Cambria" w:hAnsi="Cambria" w:cs="Cambria"/>
          <w:sz w:val="20"/>
          <w:szCs w:val="20"/>
        </w:rPr>
      </w:pPr>
      <w:r>
        <w:rPr>
          <w:rFonts w:ascii="Cambria" w:eastAsia="Cambria" w:hAnsi="Cambria" w:cs="Cambria"/>
          <w:sz w:val="20"/>
          <w:szCs w:val="20"/>
        </w:rPr>
        <w:t xml:space="preserve">Responses are </w:t>
      </w:r>
      <w:r>
        <w:rPr>
          <w:rFonts w:ascii="Cambria" w:eastAsia="Cambria" w:hAnsi="Cambria" w:cs="Cambria"/>
          <w:b/>
          <w:sz w:val="20"/>
          <w:szCs w:val="20"/>
          <w:u w:val="single"/>
        </w:rPr>
        <w:t>mainly</w:t>
      </w:r>
      <w:r>
        <w:rPr>
          <w:rFonts w:ascii="Cambria" w:eastAsia="Cambria" w:hAnsi="Cambria" w:cs="Cambria"/>
          <w:sz w:val="20"/>
          <w:szCs w:val="20"/>
        </w:rPr>
        <w:t xml:space="preserve"> accurate, clear, concise, convincing, with </w:t>
      </w:r>
      <w:r>
        <w:rPr>
          <w:rFonts w:ascii="Cambria" w:eastAsia="Cambria" w:hAnsi="Cambria" w:cs="Cambria"/>
          <w:b/>
          <w:sz w:val="20"/>
          <w:szCs w:val="20"/>
          <w:u w:val="single"/>
        </w:rPr>
        <w:t xml:space="preserve">sufficient </w:t>
      </w:r>
      <w:r>
        <w:rPr>
          <w:rFonts w:ascii="Cambria" w:eastAsia="Cambria" w:hAnsi="Cambria" w:cs="Cambria"/>
          <w:sz w:val="20"/>
          <w:szCs w:val="20"/>
        </w:rPr>
        <w:t>detail/evidence and consistent use of terminology and appropriate attention to purpose and audience</w:t>
      </w:r>
    </w:p>
    <w:p w:rsidR="00E90DAF" w:rsidRDefault="003472DC">
      <w:pPr>
        <w:ind w:left="-540" w:right="-540"/>
        <w:rPr>
          <w:rFonts w:ascii="Cambria" w:eastAsia="Cambria" w:hAnsi="Cambria" w:cs="Cambria"/>
          <w:b/>
          <w:sz w:val="20"/>
          <w:szCs w:val="20"/>
        </w:rPr>
      </w:pPr>
      <w:r>
        <w:rPr>
          <w:rFonts w:ascii="Cambria" w:eastAsia="Cambria" w:hAnsi="Cambria" w:cs="Cambria"/>
          <w:b/>
          <w:sz w:val="20"/>
          <w:szCs w:val="20"/>
        </w:rPr>
        <w:t xml:space="preserve">Level 7 </w:t>
      </w:r>
    </w:p>
    <w:p w:rsidR="00E90DAF" w:rsidRDefault="003472DC">
      <w:pPr>
        <w:numPr>
          <w:ilvl w:val="0"/>
          <w:numId w:val="2"/>
        </w:numPr>
        <w:ind w:right="-540" w:hanging="360"/>
        <w:contextualSpacing/>
        <w:rPr>
          <w:rFonts w:ascii="Cambria" w:eastAsia="Cambria" w:hAnsi="Cambria" w:cs="Cambria"/>
          <w:sz w:val="20"/>
          <w:szCs w:val="20"/>
        </w:rPr>
      </w:pPr>
      <w:r>
        <w:rPr>
          <w:rFonts w:ascii="Cambria" w:eastAsia="Cambria" w:hAnsi="Cambria" w:cs="Cambria"/>
          <w:sz w:val="20"/>
          <w:szCs w:val="20"/>
        </w:rPr>
        <w:t xml:space="preserve">Student demonstrated </w:t>
      </w:r>
      <w:r>
        <w:rPr>
          <w:rFonts w:ascii="Cambria" w:eastAsia="Cambria" w:hAnsi="Cambria" w:cs="Cambria"/>
          <w:b/>
          <w:sz w:val="20"/>
          <w:szCs w:val="20"/>
          <w:u w:val="single"/>
        </w:rPr>
        <w:t>excellent</w:t>
      </w:r>
      <w:r>
        <w:rPr>
          <w:rFonts w:ascii="Cambria" w:eastAsia="Cambria" w:hAnsi="Cambria" w:cs="Cambria"/>
          <w:sz w:val="20"/>
          <w:szCs w:val="20"/>
        </w:rPr>
        <w:t xml:space="preserve"> content knowledge and understanding, conceptual and contextual awareness and critical, reflective thinking</w:t>
      </w:r>
    </w:p>
    <w:p w:rsidR="00E90DAF" w:rsidRDefault="003472DC">
      <w:pPr>
        <w:numPr>
          <w:ilvl w:val="0"/>
          <w:numId w:val="2"/>
        </w:numPr>
        <w:ind w:right="-540" w:hanging="360"/>
        <w:contextualSpacing/>
        <w:rPr>
          <w:rFonts w:ascii="Cambria" w:eastAsia="Cambria" w:hAnsi="Cambria" w:cs="Cambria"/>
          <w:sz w:val="20"/>
          <w:szCs w:val="20"/>
        </w:rPr>
      </w:pPr>
      <w:r>
        <w:rPr>
          <w:rFonts w:ascii="Cambria" w:eastAsia="Cambria" w:hAnsi="Cambria" w:cs="Cambria"/>
          <w:b/>
          <w:sz w:val="20"/>
          <w:szCs w:val="20"/>
          <w:u w:val="single"/>
        </w:rPr>
        <w:t>Highly effective</w:t>
      </w:r>
      <w:r>
        <w:rPr>
          <w:rFonts w:ascii="Cambria" w:eastAsia="Cambria" w:hAnsi="Cambria" w:cs="Cambria"/>
          <w:sz w:val="20"/>
          <w:szCs w:val="20"/>
        </w:rPr>
        <w:t xml:space="preserve"> research and investigative skills are evident, as is the ability to analyse, evaluate and synthesize different types of evidence to reach  valid conclusions,</w:t>
      </w:r>
    </w:p>
    <w:p w:rsidR="00E90DAF" w:rsidRDefault="003472DC">
      <w:pPr>
        <w:numPr>
          <w:ilvl w:val="0"/>
          <w:numId w:val="2"/>
        </w:numPr>
        <w:ind w:right="-540" w:hanging="360"/>
        <w:contextualSpacing/>
        <w:rPr>
          <w:rFonts w:ascii="Cambria" w:eastAsia="Cambria" w:hAnsi="Cambria" w:cs="Cambria"/>
          <w:sz w:val="20"/>
          <w:szCs w:val="20"/>
        </w:rPr>
      </w:pPr>
      <w:r>
        <w:rPr>
          <w:rFonts w:ascii="Cambria" w:eastAsia="Cambria" w:hAnsi="Cambria" w:cs="Cambria"/>
          <w:sz w:val="20"/>
          <w:szCs w:val="20"/>
        </w:rPr>
        <w:t xml:space="preserve">Responses are </w:t>
      </w:r>
      <w:r>
        <w:rPr>
          <w:rFonts w:ascii="Cambria" w:eastAsia="Cambria" w:hAnsi="Cambria" w:cs="Cambria"/>
          <w:b/>
          <w:sz w:val="20"/>
          <w:szCs w:val="20"/>
          <w:u w:val="single"/>
        </w:rPr>
        <w:t>highly insightful</w:t>
      </w:r>
      <w:r>
        <w:rPr>
          <w:rFonts w:ascii="Cambria" w:eastAsia="Cambria" w:hAnsi="Cambria" w:cs="Cambria"/>
          <w:sz w:val="20"/>
          <w:szCs w:val="20"/>
        </w:rPr>
        <w:t>, accurate, clear, concise, convincing, with</w:t>
      </w:r>
      <w:r>
        <w:rPr>
          <w:rFonts w:ascii="Cambria" w:eastAsia="Cambria" w:hAnsi="Cambria" w:cs="Cambria"/>
          <w:b/>
          <w:sz w:val="20"/>
          <w:szCs w:val="20"/>
          <w:u w:val="single"/>
        </w:rPr>
        <w:t xml:space="preserve"> sufficient</w:t>
      </w:r>
      <w:r>
        <w:rPr>
          <w:rFonts w:ascii="Cambria" w:eastAsia="Cambria" w:hAnsi="Cambria" w:cs="Cambria"/>
          <w:sz w:val="20"/>
          <w:szCs w:val="20"/>
        </w:rPr>
        <w:t xml:space="preserve"> detail/evidence and</w:t>
      </w:r>
      <w:r>
        <w:rPr>
          <w:rFonts w:ascii="Cambria" w:eastAsia="Cambria" w:hAnsi="Cambria" w:cs="Cambria"/>
          <w:b/>
          <w:sz w:val="20"/>
          <w:szCs w:val="20"/>
          <w:u w:val="single"/>
        </w:rPr>
        <w:t xml:space="preserve"> precise</w:t>
      </w:r>
      <w:r>
        <w:rPr>
          <w:rFonts w:ascii="Cambria" w:eastAsia="Cambria" w:hAnsi="Cambria" w:cs="Cambria"/>
          <w:sz w:val="20"/>
          <w:szCs w:val="20"/>
        </w:rPr>
        <w:t xml:space="preserve"> use of terminology and appropriate attention to purpose and audience</w:t>
      </w:r>
    </w:p>
    <w:p w:rsidR="00E90DAF" w:rsidRDefault="003472DC">
      <w:pPr>
        <w:numPr>
          <w:ilvl w:val="0"/>
          <w:numId w:val="2"/>
        </w:numPr>
        <w:ind w:right="-540" w:hanging="360"/>
        <w:contextualSpacing/>
        <w:rPr>
          <w:rFonts w:ascii="Cambria" w:eastAsia="Cambria" w:hAnsi="Cambria" w:cs="Cambria"/>
          <w:sz w:val="20"/>
          <w:szCs w:val="20"/>
        </w:rPr>
      </w:pPr>
      <w:r>
        <w:rPr>
          <w:rFonts w:ascii="Cambria" w:eastAsia="Cambria" w:hAnsi="Cambria" w:cs="Cambria"/>
          <w:b/>
          <w:sz w:val="20"/>
          <w:szCs w:val="20"/>
          <w:u w:val="single"/>
        </w:rPr>
        <w:t>Mastered</w:t>
      </w:r>
      <w:r>
        <w:rPr>
          <w:rFonts w:ascii="Cambria" w:eastAsia="Cambria" w:hAnsi="Cambria" w:cs="Cambria"/>
          <w:sz w:val="20"/>
          <w:szCs w:val="20"/>
        </w:rPr>
        <w:t xml:space="preserve"> thinking and inquiry process and critical thinking assessment ability.  </w:t>
      </w:r>
    </w:p>
    <w:p w:rsidR="00E90DAF" w:rsidRDefault="003472DC">
      <w:pPr>
        <w:ind w:left="-540" w:right="-540"/>
        <w:jc w:val="center"/>
        <w:rPr>
          <w:rFonts w:ascii="Cambria" w:eastAsia="Cambria" w:hAnsi="Cambria" w:cs="Cambria"/>
          <w:b/>
          <w:sz w:val="20"/>
          <w:szCs w:val="20"/>
        </w:rPr>
      </w:pPr>
      <w:r>
        <w:rPr>
          <w:rFonts w:ascii="Cambria" w:eastAsia="Cambria" w:hAnsi="Cambria" w:cs="Cambria"/>
          <w:b/>
          <w:sz w:val="20"/>
          <w:szCs w:val="20"/>
        </w:rPr>
        <w:t xml:space="preserve">Grade Boundaries </w:t>
      </w:r>
    </w:p>
    <w:p w:rsidR="00E90DAF" w:rsidRDefault="00E90DAF">
      <w:pPr>
        <w:spacing w:before="0" w:line="276" w:lineRule="auto"/>
        <w:ind w:left="0" w:right="0"/>
        <w:rPr>
          <w:rFonts w:ascii="Cambria" w:eastAsia="Cambria" w:hAnsi="Cambria" w:cs="Cambria"/>
          <w:sz w:val="16"/>
          <w:szCs w:val="16"/>
        </w:rPr>
      </w:pPr>
    </w:p>
    <w:tbl>
      <w:tblPr>
        <w:tblStyle w:val="a"/>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440"/>
        <w:gridCol w:w="1620"/>
        <w:gridCol w:w="1740"/>
        <w:gridCol w:w="1455"/>
        <w:gridCol w:w="1875"/>
        <w:gridCol w:w="1710"/>
        <w:gridCol w:w="1440"/>
      </w:tblGrid>
      <w:tr w:rsidR="00E90DAF">
        <w:tc>
          <w:tcPr>
            <w:tcW w:w="1620" w:type="dxa"/>
            <w:shd w:val="clear" w:color="auto" w:fill="B7B7B7"/>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b/>
                <w:sz w:val="20"/>
                <w:szCs w:val="20"/>
              </w:rPr>
            </w:pPr>
            <w:r>
              <w:rPr>
                <w:rFonts w:ascii="Cambria" w:eastAsia="Cambria" w:hAnsi="Cambria" w:cs="Cambria"/>
                <w:b/>
                <w:sz w:val="20"/>
                <w:szCs w:val="20"/>
              </w:rPr>
              <w:t xml:space="preserve"> Level </w:t>
            </w:r>
          </w:p>
        </w:tc>
        <w:tc>
          <w:tcPr>
            <w:tcW w:w="1440" w:type="dxa"/>
            <w:shd w:val="clear" w:color="auto" w:fill="B7B7B7"/>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b/>
                <w:sz w:val="20"/>
                <w:szCs w:val="20"/>
              </w:rPr>
            </w:pPr>
            <w:r>
              <w:rPr>
                <w:rFonts w:ascii="Cambria" w:eastAsia="Cambria" w:hAnsi="Cambria" w:cs="Cambria"/>
                <w:b/>
                <w:sz w:val="20"/>
                <w:szCs w:val="20"/>
              </w:rPr>
              <w:t>1</w:t>
            </w:r>
          </w:p>
        </w:tc>
        <w:tc>
          <w:tcPr>
            <w:tcW w:w="1620" w:type="dxa"/>
            <w:shd w:val="clear" w:color="auto" w:fill="B7B7B7"/>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b/>
                <w:sz w:val="20"/>
                <w:szCs w:val="20"/>
              </w:rPr>
            </w:pPr>
            <w:r>
              <w:rPr>
                <w:rFonts w:ascii="Cambria" w:eastAsia="Cambria" w:hAnsi="Cambria" w:cs="Cambria"/>
                <w:b/>
                <w:sz w:val="20"/>
                <w:szCs w:val="20"/>
              </w:rPr>
              <w:t>2</w:t>
            </w:r>
          </w:p>
        </w:tc>
        <w:tc>
          <w:tcPr>
            <w:tcW w:w="1740" w:type="dxa"/>
            <w:shd w:val="clear" w:color="auto" w:fill="B7B7B7"/>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b/>
                <w:sz w:val="20"/>
                <w:szCs w:val="20"/>
              </w:rPr>
            </w:pPr>
            <w:r>
              <w:rPr>
                <w:rFonts w:ascii="Cambria" w:eastAsia="Cambria" w:hAnsi="Cambria" w:cs="Cambria"/>
                <w:b/>
                <w:sz w:val="20"/>
                <w:szCs w:val="20"/>
              </w:rPr>
              <w:t>3</w:t>
            </w:r>
          </w:p>
        </w:tc>
        <w:tc>
          <w:tcPr>
            <w:tcW w:w="1455" w:type="dxa"/>
            <w:shd w:val="clear" w:color="auto" w:fill="B7B7B7"/>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b/>
                <w:sz w:val="20"/>
                <w:szCs w:val="20"/>
              </w:rPr>
            </w:pPr>
            <w:r>
              <w:rPr>
                <w:rFonts w:ascii="Cambria" w:eastAsia="Cambria" w:hAnsi="Cambria" w:cs="Cambria"/>
                <w:b/>
                <w:sz w:val="20"/>
                <w:szCs w:val="20"/>
              </w:rPr>
              <w:t>4</w:t>
            </w:r>
          </w:p>
        </w:tc>
        <w:tc>
          <w:tcPr>
            <w:tcW w:w="1875" w:type="dxa"/>
            <w:shd w:val="clear" w:color="auto" w:fill="B7B7B7"/>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b/>
                <w:sz w:val="20"/>
                <w:szCs w:val="20"/>
              </w:rPr>
            </w:pPr>
            <w:r>
              <w:rPr>
                <w:rFonts w:ascii="Cambria" w:eastAsia="Cambria" w:hAnsi="Cambria" w:cs="Cambria"/>
                <w:b/>
                <w:sz w:val="20"/>
                <w:szCs w:val="20"/>
              </w:rPr>
              <w:t>5</w:t>
            </w:r>
          </w:p>
        </w:tc>
        <w:tc>
          <w:tcPr>
            <w:tcW w:w="1710" w:type="dxa"/>
            <w:shd w:val="clear" w:color="auto" w:fill="B7B7B7"/>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b/>
                <w:sz w:val="20"/>
                <w:szCs w:val="20"/>
              </w:rPr>
            </w:pPr>
            <w:r>
              <w:rPr>
                <w:rFonts w:ascii="Cambria" w:eastAsia="Cambria" w:hAnsi="Cambria" w:cs="Cambria"/>
                <w:b/>
                <w:sz w:val="20"/>
                <w:szCs w:val="20"/>
              </w:rPr>
              <w:t>6</w:t>
            </w:r>
          </w:p>
        </w:tc>
        <w:tc>
          <w:tcPr>
            <w:tcW w:w="1440" w:type="dxa"/>
            <w:shd w:val="clear" w:color="auto" w:fill="B7B7B7"/>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b/>
                <w:sz w:val="20"/>
                <w:szCs w:val="20"/>
              </w:rPr>
            </w:pPr>
            <w:r>
              <w:rPr>
                <w:rFonts w:ascii="Cambria" w:eastAsia="Cambria" w:hAnsi="Cambria" w:cs="Cambria"/>
                <w:b/>
                <w:sz w:val="20"/>
                <w:szCs w:val="20"/>
              </w:rPr>
              <w:t>7</w:t>
            </w:r>
          </w:p>
        </w:tc>
      </w:tr>
      <w:tr w:rsidR="00E90DAF">
        <w:tc>
          <w:tcPr>
            <w:tcW w:w="1620" w:type="dxa"/>
            <w:shd w:val="clear" w:color="auto" w:fill="B7B7B7"/>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b/>
                <w:sz w:val="20"/>
                <w:szCs w:val="20"/>
              </w:rPr>
            </w:pPr>
            <w:r>
              <w:rPr>
                <w:rFonts w:ascii="Cambria" w:eastAsia="Cambria" w:hAnsi="Cambria" w:cs="Cambria"/>
                <w:b/>
                <w:sz w:val="20"/>
                <w:szCs w:val="20"/>
              </w:rPr>
              <w:t xml:space="preserve"> Grade Range</w:t>
            </w:r>
          </w:p>
        </w:tc>
        <w:tc>
          <w:tcPr>
            <w:tcW w:w="1440" w:type="dxa"/>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sz w:val="20"/>
                <w:szCs w:val="20"/>
              </w:rPr>
            </w:pPr>
            <w:r>
              <w:rPr>
                <w:rFonts w:ascii="Cambria" w:eastAsia="Cambria" w:hAnsi="Cambria" w:cs="Cambria"/>
                <w:sz w:val="20"/>
                <w:szCs w:val="20"/>
              </w:rPr>
              <w:t>0-49</w:t>
            </w:r>
          </w:p>
        </w:tc>
        <w:tc>
          <w:tcPr>
            <w:tcW w:w="1620" w:type="dxa"/>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sz w:val="20"/>
                <w:szCs w:val="20"/>
              </w:rPr>
            </w:pPr>
            <w:r>
              <w:rPr>
                <w:rFonts w:ascii="Cambria" w:eastAsia="Cambria" w:hAnsi="Cambria" w:cs="Cambria"/>
                <w:sz w:val="20"/>
                <w:szCs w:val="20"/>
              </w:rPr>
              <w:t>50-60</w:t>
            </w:r>
          </w:p>
        </w:tc>
        <w:tc>
          <w:tcPr>
            <w:tcW w:w="1740" w:type="dxa"/>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sz w:val="20"/>
                <w:szCs w:val="20"/>
              </w:rPr>
            </w:pPr>
            <w:r>
              <w:rPr>
                <w:rFonts w:ascii="Cambria" w:eastAsia="Cambria" w:hAnsi="Cambria" w:cs="Cambria"/>
                <w:sz w:val="20"/>
                <w:szCs w:val="20"/>
              </w:rPr>
              <w:t>61-71</w:t>
            </w:r>
          </w:p>
        </w:tc>
        <w:tc>
          <w:tcPr>
            <w:tcW w:w="1455" w:type="dxa"/>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sz w:val="20"/>
                <w:szCs w:val="20"/>
              </w:rPr>
            </w:pPr>
            <w:r>
              <w:rPr>
                <w:rFonts w:ascii="Cambria" w:eastAsia="Cambria" w:hAnsi="Cambria" w:cs="Cambria"/>
                <w:sz w:val="20"/>
                <w:szCs w:val="20"/>
              </w:rPr>
              <w:t>72-83</w:t>
            </w:r>
          </w:p>
        </w:tc>
        <w:tc>
          <w:tcPr>
            <w:tcW w:w="1875" w:type="dxa"/>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sz w:val="20"/>
                <w:szCs w:val="20"/>
              </w:rPr>
            </w:pPr>
            <w:r>
              <w:rPr>
                <w:rFonts w:ascii="Cambria" w:eastAsia="Cambria" w:hAnsi="Cambria" w:cs="Cambria"/>
                <w:sz w:val="20"/>
                <w:szCs w:val="20"/>
              </w:rPr>
              <w:t>84-92</w:t>
            </w:r>
          </w:p>
        </w:tc>
        <w:tc>
          <w:tcPr>
            <w:tcW w:w="1710" w:type="dxa"/>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sz w:val="20"/>
                <w:szCs w:val="20"/>
              </w:rPr>
            </w:pPr>
            <w:r>
              <w:rPr>
                <w:rFonts w:ascii="Cambria" w:eastAsia="Cambria" w:hAnsi="Cambria" w:cs="Cambria"/>
                <w:sz w:val="20"/>
                <w:szCs w:val="20"/>
              </w:rPr>
              <w:t>93-96</w:t>
            </w:r>
          </w:p>
        </w:tc>
        <w:tc>
          <w:tcPr>
            <w:tcW w:w="1440" w:type="dxa"/>
            <w:tcMar>
              <w:top w:w="100" w:type="dxa"/>
              <w:left w:w="100" w:type="dxa"/>
              <w:bottom w:w="100" w:type="dxa"/>
              <w:right w:w="100" w:type="dxa"/>
            </w:tcMar>
          </w:tcPr>
          <w:p w:rsidR="00E90DAF" w:rsidRDefault="003472DC">
            <w:pPr>
              <w:widowControl w:val="0"/>
              <w:spacing w:before="0" w:line="240" w:lineRule="auto"/>
              <w:ind w:left="0" w:right="0"/>
              <w:jc w:val="center"/>
              <w:rPr>
                <w:rFonts w:ascii="Cambria" w:eastAsia="Cambria" w:hAnsi="Cambria" w:cs="Cambria"/>
                <w:sz w:val="20"/>
                <w:szCs w:val="20"/>
              </w:rPr>
            </w:pPr>
            <w:r>
              <w:rPr>
                <w:rFonts w:ascii="Cambria" w:eastAsia="Cambria" w:hAnsi="Cambria" w:cs="Cambria"/>
                <w:sz w:val="20"/>
                <w:szCs w:val="20"/>
              </w:rPr>
              <w:t>97-100</w:t>
            </w:r>
          </w:p>
        </w:tc>
      </w:tr>
    </w:tbl>
    <w:p w:rsidR="00E90DAF" w:rsidRDefault="00E90DAF">
      <w:pPr>
        <w:spacing w:before="0" w:line="240" w:lineRule="auto"/>
        <w:ind w:left="-540" w:right="-540"/>
        <w:rPr>
          <w:rFonts w:ascii="Cambria" w:eastAsia="Cambria" w:hAnsi="Cambria" w:cs="Cambria"/>
          <w:sz w:val="20"/>
          <w:szCs w:val="20"/>
        </w:rPr>
      </w:pPr>
    </w:p>
    <w:p w:rsidR="00E90DAF" w:rsidRDefault="003472DC">
      <w:pPr>
        <w:spacing w:before="0" w:line="240" w:lineRule="auto"/>
        <w:ind w:left="-540" w:right="-540"/>
        <w:rPr>
          <w:rFonts w:ascii="Cambria" w:eastAsia="Cambria" w:hAnsi="Cambria" w:cs="Cambria"/>
          <w:sz w:val="20"/>
          <w:szCs w:val="20"/>
        </w:rPr>
      </w:pPr>
      <w:r>
        <w:rPr>
          <w:rFonts w:ascii="Cambria" w:eastAsia="Cambria" w:hAnsi="Cambria" w:cs="Cambria"/>
          <w:sz w:val="20"/>
          <w:szCs w:val="20"/>
        </w:rPr>
        <w:t xml:space="preserve">*These descriptors are adapted from the official IB Diploma Programme grade descriptors 2015 </w:t>
      </w:r>
    </w:p>
    <w:p w:rsidR="00E90DAF" w:rsidRDefault="003472DC">
      <w:pPr>
        <w:spacing w:before="0" w:line="240" w:lineRule="auto"/>
        <w:ind w:left="-540" w:right="-540"/>
        <w:rPr>
          <w:rFonts w:ascii="Cambria" w:eastAsia="Cambria" w:hAnsi="Cambria" w:cs="Cambria"/>
        </w:rPr>
      </w:pPr>
      <w:r>
        <w:rPr>
          <w:rFonts w:ascii="Cambria" w:eastAsia="Cambria" w:hAnsi="Cambria" w:cs="Cambria"/>
          <w:sz w:val="20"/>
          <w:szCs w:val="20"/>
        </w:rPr>
        <w:t xml:space="preserve">**The grade boundaries reflect the accepted Canada and World Studies curriculum. </w:t>
      </w:r>
    </w:p>
    <w:sectPr w:rsidR="00E90DAF" w:rsidSect="003472DC">
      <w:pgSz w:w="12240" w:h="15840" w:code="1"/>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T Serif">
    <w:altName w:val="Arial"/>
    <w:charset w:val="00"/>
    <w:family w:val="auto"/>
    <w:pitch w:val="default"/>
  </w:font>
  <w:font w:name="Old Standard TT">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7711"/>
    <w:multiLevelType w:val="multilevel"/>
    <w:tmpl w:val="0F024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12821FB"/>
    <w:multiLevelType w:val="multilevel"/>
    <w:tmpl w:val="9E4AF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83A4A37"/>
    <w:multiLevelType w:val="multilevel"/>
    <w:tmpl w:val="EB526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C171BD5"/>
    <w:multiLevelType w:val="multilevel"/>
    <w:tmpl w:val="04C07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EEE24A2"/>
    <w:multiLevelType w:val="multilevel"/>
    <w:tmpl w:val="4C408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8801A3D"/>
    <w:multiLevelType w:val="multilevel"/>
    <w:tmpl w:val="A4B89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9643F80"/>
    <w:multiLevelType w:val="multilevel"/>
    <w:tmpl w:val="C83A0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AF"/>
    <w:rsid w:val="003472DC"/>
    <w:rsid w:val="00DF69A3"/>
    <w:rsid w:val="00E36178"/>
    <w:rsid w:val="00E90D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09883-010C-4167-98D1-CB561F55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erif" w:eastAsia="PT Serif" w:hAnsi="PT Serif" w:cs="PT Serif"/>
        <w:color w:val="000000"/>
        <w:sz w:val="22"/>
        <w:szCs w:val="22"/>
        <w:lang w:val="en-CA" w:eastAsia="ja-JP" w:bidi="ar-SA"/>
      </w:rPr>
    </w:rPrDefault>
    <w:pPrDefault>
      <w:pPr>
        <w:pBdr>
          <w:top w:val="nil"/>
          <w:left w:val="nil"/>
          <w:bottom w:val="nil"/>
          <w:right w:val="nil"/>
          <w:between w:val="nil"/>
        </w:pBdr>
        <w:spacing w:before="200" w:line="312" w:lineRule="auto"/>
        <w:ind w:left="-15" w:right="-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00"/>
      <w:contextualSpacing/>
      <w:outlineLvl w:val="0"/>
    </w:pPr>
    <w:rPr>
      <w:rFonts w:ascii="Old Standard TT" w:eastAsia="Old Standard TT" w:hAnsi="Old Standard TT" w:cs="Old Standard TT"/>
      <w:b/>
      <w:sz w:val="28"/>
      <w:szCs w:val="28"/>
    </w:rPr>
  </w:style>
  <w:style w:type="paragraph" w:styleId="Heading2">
    <w:name w:val="heading 2"/>
    <w:basedOn w:val="Normal"/>
    <w:next w:val="Normal"/>
    <w:pPr>
      <w:contextualSpacing/>
      <w:outlineLvl w:val="1"/>
    </w:pPr>
    <w:rPr>
      <w:b/>
    </w:rPr>
  </w:style>
  <w:style w:type="paragraph" w:styleId="Heading3">
    <w:name w:val="heading 3"/>
    <w:basedOn w:val="Normal"/>
    <w:next w:val="Normal"/>
    <w:pPr>
      <w:ind w:left="0"/>
      <w:contextualSpacing/>
      <w:outlineLvl w:val="2"/>
    </w:pPr>
    <w:rPr>
      <w:i/>
    </w:rPr>
  </w:style>
  <w:style w:type="paragraph" w:styleId="Heading4">
    <w:name w:val="heading 4"/>
    <w:basedOn w:val="Normal"/>
    <w:next w:val="Normal"/>
    <w:pPr>
      <w:widowControl w:val="0"/>
      <w:spacing w:before="0"/>
      <w:contextualSpacing/>
      <w:outlineLvl w:val="3"/>
    </w:pPr>
    <w:rPr>
      <w:rFonts w:ascii="Old Standard TT" w:eastAsia="Old Standard TT" w:hAnsi="Old Standard TT" w:cs="Old Standard TT"/>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contextualSpacing/>
    </w:pPr>
    <w:rPr>
      <w:rFonts w:ascii="Old Standard TT" w:eastAsia="Old Standard TT" w:hAnsi="Old Standard TT" w:cs="Old Standard TT"/>
      <w:b/>
      <w:color w:val="00A797"/>
      <w:sz w:val="72"/>
      <w:szCs w:val="72"/>
    </w:rPr>
  </w:style>
  <w:style w:type="paragraph" w:styleId="Subtitle">
    <w:name w:val="Subtitle"/>
    <w:basedOn w:val="Normal"/>
    <w:next w:val="Normal"/>
    <w:pPr>
      <w:widowControl w:val="0"/>
      <w:spacing w:before="0"/>
      <w:contextualSpacing/>
    </w:pPr>
    <w:rPr>
      <w:rFonts w:ascii="Old Standard TT" w:eastAsia="Old Standard TT" w:hAnsi="Old Standard TT" w:cs="Old Standard TT"/>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472D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 Richard</dc:creator>
  <cp:lastModifiedBy>Mairi .</cp:lastModifiedBy>
  <cp:revision>2</cp:revision>
  <cp:lastPrinted>2017-06-28T16:42:00Z</cp:lastPrinted>
  <dcterms:created xsi:type="dcterms:W3CDTF">2017-08-19T13:56:00Z</dcterms:created>
  <dcterms:modified xsi:type="dcterms:W3CDTF">2017-08-19T13:56:00Z</dcterms:modified>
</cp:coreProperties>
</file>